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impactful.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timelines,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squeeze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analytics,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obtains,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i.e.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attainable.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counterintuitive,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resolution?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20%?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10%?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1%?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resolutions.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permanent.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Demonstrate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analytics.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fabric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satisfaction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accommodate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surrounding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constitutes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overcrowding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enables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analytics,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relegated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demonstrate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head-to-head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in-market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springboard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07 Implement RENDER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06, 2019 -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"https://www.rev.com/transcript-editor/Edit?token=YiASWx6FGkW39bm9bD39YYROJ0mkFAj1b1qrDx63ugVS2iwvqdjyROmg6EX2eK-dijYV-DaOxiEV_OGogUjjNsYt-F4&amp;loadFrom=DocumentHeaderDeepLink"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